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C0" w:rsidRPr="00D1345E" w:rsidRDefault="00E114C0" w:rsidP="00E114C0">
      <w:pPr>
        <w:pStyle w:val="Default"/>
        <w:jc w:val="center"/>
        <w:rPr>
          <w:rFonts w:ascii="Arial" w:hAnsi="Arial" w:cs="Arial"/>
          <w:b/>
          <w:sz w:val="28"/>
          <w:szCs w:val="28"/>
          <w:u w:val="double"/>
        </w:rPr>
      </w:pPr>
      <w:r>
        <w:rPr>
          <w:noProof/>
          <w:lang w:eastAsia="el-GR"/>
        </w:rPr>
        <w:drawing>
          <wp:inline distT="0" distB="0" distL="0" distR="0">
            <wp:extent cx="862330" cy="72453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862330" cy="724535"/>
                    </a:xfrm>
                    <a:prstGeom prst="rect">
                      <a:avLst/>
                    </a:prstGeom>
                    <a:noFill/>
                    <a:ln w="9525">
                      <a:noFill/>
                      <a:miter lim="800000"/>
                      <a:headEnd/>
                      <a:tailEnd/>
                    </a:ln>
                  </pic:spPr>
                </pic:pic>
              </a:graphicData>
            </a:graphic>
          </wp:inline>
        </w:drawing>
      </w:r>
      <w:r w:rsidRPr="00D1345E">
        <w:rPr>
          <w:rFonts w:ascii="Arial" w:hAnsi="Arial" w:cs="Arial"/>
          <w:b/>
          <w:sz w:val="28"/>
          <w:szCs w:val="28"/>
          <w:u w:val="double"/>
        </w:rPr>
        <w:t>ΜΥΘΟΙ ΚΑΙ ΠΡΑΓΜΑΤΙΚΟΤΗΤΑ</w:t>
      </w:r>
      <w:r w:rsidRPr="00D1345E">
        <w:t xml:space="preserve"> </w:t>
      </w:r>
      <w:r>
        <w:rPr>
          <w:noProof/>
          <w:lang w:eastAsia="el-GR"/>
        </w:rPr>
        <w:drawing>
          <wp:inline distT="0" distB="0" distL="0" distR="0">
            <wp:extent cx="914400" cy="76771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914400" cy="767715"/>
                    </a:xfrm>
                    <a:prstGeom prst="rect">
                      <a:avLst/>
                    </a:prstGeom>
                    <a:noFill/>
                    <a:ln w="9525">
                      <a:noFill/>
                      <a:miter lim="800000"/>
                      <a:headEnd/>
                      <a:tailEnd/>
                    </a:ln>
                  </pic:spPr>
                </pic:pic>
              </a:graphicData>
            </a:graphic>
          </wp:inline>
        </w:drawing>
      </w:r>
    </w:p>
    <w:p w:rsidR="00303ECE" w:rsidRDefault="00303ECE" w:rsidP="00F021EE">
      <w:pPr>
        <w:spacing w:after="120"/>
      </w:pPr>
    </w:p>
    <w:p w:rsidR="00F021EE" w:rsidRPr="008D31A5" w:rsidRDefault="00F021EE" w:rsidP="00F021EE">
      <w:pPr>
        <w:spacing w:after="120"/>
        <w:jc w:val="center"/>
        <w:rPr>
          <w:b/>
          <w:sz w:val="28"/>
          <w:szCs w:val="28"/>
        </w:rPr>
      </w:pPr>
      <w:r w:rsidRPr="008D31A5">
        <w:rPr>
          <w:b/>
          <w:sz w:val="28"/>
          <w:szCs w:val="28"/>
        </w:rPr>
        <w:t>Θερμομόνωση και «άκαυστα» υλικά</w:t>
      </w:r>
    </w:p>
    <w:p w:rsidR="00F021EE" w:rsidRDefault="00813BD9" w:rsidP="00F021EE">
      <w:pPr>
        <w:spacing w:after="120"/>
      </w:pPr>
      <w:r>
        <w:t>Με αφορμή πρόσφατα δημοσιεύματα ύποπτης σκοπ</w:t>
      </w:r>
      <w:r w:rsidR="00AC1A3A">
        <w:t>ιμότητας</w:t>
      </w:r>
      <w:r>
        <w:t>, ο Πανελλήνιος Σύνδεσμος Διογκωμένης Πολυστερίνης EPS αισθάνεται την υποχρέωση να ενημερώσει υπεύθυνα και αντικειμενικά την κοινή γνώμη</w:t>
      </w:r>
      <w:r w:rsidR="00AC1A3A">
        <w:t>, σε ότι αφορά τις απαιτήσεις πυροπροστασίας των Σύνθετων Συστημάτων Εξωτερικής Θερμομόνωσης (ΣΕΘ ή ETICS) στα κτίρια.</w:t>
      </w:r>
    </w:p>
    <w:p w:rsidR="00F021EE" w:rsidRDefault="00AC1A3A" w:rsidP="00F021EE">
      <w:pPr>
        <w:spacing w:after="120"/>
      </w:pPr>
      <w:r w:rsidRPr="00AC1A3A">
        <w:t xml:space="preserve">Όλοι μας </w:t>
      </w:r>
      <w:r>
        <w:t>γνωρίζουμε από τις τάξεις του γυμνασίου, ότι ΔΕΝ υπάρχουν «</w:t>
      </w:r>
      <w:r w:rsidRPr="00624744">
        <w:rPr>
          <w:b/>
        </w:rPr>
        <w:t>άκαυστα</w:t>
      </w:r>
      <w:r>
        <w:t>» υλικά. Αντιθέτως όλα τα υλικά έχουν σημείο ανάφλεξης σε συγκεκριμένες συνθήκες.</w:t>
      </w:r>
      <w:r w:rsidR="00684B3E">
        <w:t xml:space="preserve"> Μάλιστα σε περιπτώσεις πυρκαγιών σε κτίρια που ο φέρων οργανισμός είναι από χάλυβα ή οπλισμένο σκυρόδεμα</w:t>
      </w:r>
      <w:r w:rsidR="008D31A5" w:rsidRPr="008D31A5">
        <w:t xml:space="preserve"> </w:t>
      </w:r>
      <w:r w:rsidR="008D31A5">
        <w:t>και δεν έχουν καταρρεύσει</w:t>
      </w:r>
      <w:r w:rsidR="00684B3E">
        <w:t>, είναι απαραίτητος ο έλεγχος της στατικής του επάρκειας προκειμένου να γίνουν οι αναγκαίες επισκευές για την αποκατάστασή του, όπου είναι εφικτό.</w:t>
      </w:r>
    </w:p>
    <w:p w:rsidR="00AC1A3A" w:rsidRDefault="00AC1A3A" w:rsidP="00F021EE">
      <w:pPr>
        <w:spacing w:after="120"/>
      </w:pPr>
      <w:r>
        <w:t>Οι κανονισμοί πυροπροστασίας όλων των χωρών προβλέπουν, ανάλογα με την χρήση των κτιρίων, τις απαιτήσεις για τα υλικά και τα συστήματα με τα οποία κατασκευάζονται και εξοπλίζονται τα κτίρια. Ειδικότερα στον ευρωπαϊκό χώρο, οι κανονισμοί αυτοί βασίζονται στα αντίστοιχα ευρωπαϊκά πρότυπα τα οποία καθορίζουν και τις αναγκαίες δοκιμές προκειμένου τα υλικά και τα συστήματα να κυκλοφορούν στην αγορά και να τοποθετούνται στα κτίρια.</w:t>
      </w:r>
      <w:r w:rsidR="00624744">
        <w:t xml:space="preserve"> Βεβαίως πουθενά δεν υπάρχει ο όρος «</w:t>
      </w:r>
      <w:r w:rsidR="00624744" w:rsidRPr="00624744">
        <w:rPr>
          <w:b/>
        </w:rPr>
        <w:t>άκαυστα</w:t>
      </w:r>
      <w:r w:rsidR="00624744">
        <w:t>».</w:t>
      </w:r>
    </w:p>
    <w:p w:rsidR="00AC1A3A" w:rsidRDefault="00AC1A3A" w:rsidP="00F021EE">
      <w:pPr>
        <w:spacing w:after="120"/>
      </w:pPr>
      <w:r>
        <w:t xml:space="preserve">Ο ελληνικός κανονισμός </w:t>
      </w:r>
      <w:r w:rsidR="00863D42">
        <w:t xml:space="preserve">Π.Δ. 71/88 ως συνήθως ΔΕΝ έχει εναρμονιστεί με τα ευρωπαϊκά πρότυπα και επιπλέον ο συντάκτης του </w:t>
      </w:r>
      <w:r w:rsidR="003113A6">
        <w:t>σε ένα σημείο</w:t>
      </w:r>
      <w:r w:rsidR="00863D42">
        <w:t xml:space="preserve"> αναφέρεται σε «άκαυστα» υλικά, την στιγμή που είναι κοινώς γνωστό ότι ακόμη και στα </w:t>
      </w:r>
      <w:proofErr w:type="spellStart"/>
      <w:r w:rsidR="00863D42">
        <w:t>πυροδιαμερίσματα</w:t>
      </w:r>
      <w:proofErr w:type="spellEnd"/>
      <w:r w:rsidR="00863D42">
        <w:t xml:space="preserve"> δημόσιων χώρων, πλοίων και κτιρίων υψηλού κινδύνου, τίθενται χρονικά όρια αντοχής των συνήθως </w:t>
      </w:r>
      <w:r w:rsidR="00863D42" w:rsidRPr="00AE3A2B">
        <w:rPr>
          <w:b/>
        </w:rPr>
        <w:t>χαλύβδινων</w:t>
      </w:r>
      <w:r w:rsidR="00863D42">
        <w:t xml:space="preserve"> διαχωριστικών </w:t>
      </w:r>
      <w:r w:rsidR="00624744">
        <w:t>σε</w:t>
      </w:r>
      <w:r w:rsidR="003113A6">
        <w:t xml:space="preserve"> </w:t>
      </w:r>
      <w:r w:rsidR="00AE3A2B" w:rsidRPr="00AE3A2B">
        <w:t>3</w:t>
      </w:r>
      <w:r w:rsidR="00863D42">
        <w:t>0’</w:t>
      </w:r>
      <w:r w:rsidR="00AE3A2B" w:rsidRPr="00AE3A2B">
        <w:t>,</w:t>
      </w:r>
      <w:r w:rsidR="00863D42">
        <w:t xml:space="preserve"> </w:t>
      </w:r>
      <w:r w:rsidR="00AE3A2B" w:rsidRPr="00AE3A2B">
        <w:t>6</w:t>
      </w:r>
      <w:r w:rsidR="00863D42">
        <w:t>0’</w:t>
      </w:r>
      <w:r w:rsidR="00AE3A2B" w:rsidRPr="00AE3A2B">
        <w:t xml:space="preserve"> </w:t>
      </w:r>
      <w:r w:rsidR="00AE3A2B">
        <w:t>κ.λπ.</w:t>
      </w:r>
    </w:p>
    <w:p w:rsidR="00863D42" w:rsidRDefault="00863D42" w:rsidP="00F021EE">
      <w:pPr>
        <w:spacing w:after="120"/>
      </w:pPr>
      <w:r w:rsidRPr="00624744">
        <w:rPr>
          <w:b/>
        </w:rPr>
        <w:t>Συνεπώς οι ισχυρισμοί περί «</w:t>
      </w:r>
      <w:r w:rsidR="00684B3E" w:rsidRPr="00624744">
        <w:rPr>
          <w:b/>
        </w:rPr>
        <w:t>ακαύ</w:t>
      </w:r>
      <w:r w:rsidRPr="00624744">
        <w:rPr>
          <w:b/>
        </w:rPr>
        <w:t>στων» υλικών αποτελούν μύθο</w:t>
      </w:r>
      <w:r>
        <w:t xml:space="preserve"> που αποβλέπει </w:t>
      </w:r>
      <w:r w:rsidR="00684B3E">
        <w:t xml:space="preserve">αποκλειστικά </w:t>
      </w:r>
      <w:r>
        <w:t>στην παραπληροφόρηση του κοινού</w:t>
      </w:r>
      <w:r w:rsidR="00684B3E">
        <w:t xml:space="preserve"> και στη δημιουργία μονοπωλιακών συνθηκών αγοράς</w:t>
      </w:r>
      <w:r>
        <w:t>.</w:t>
      </w:r>
    </w:p>
    <w:p w:rsidR="00682E57" w:rsidRDefault="00863D42" w:rsidP="00F021EE">
      <w:pPr>
        <w:spacing w:after="120"/>
      </w:pPr>
      <w:r w:rsidRPr="00624744">
        <w:rPr>
          <w:b/>
        </w:rPr>
        <w:t>Η πραγματικότητα</w:t>
      </w:r>
      <w:r>
        <w:t xml:space="preserve"> σε ότι αφορά τις απαιτήσεις αντίδρασης στη φωτιά των Σύνθετων Συστημάτων Εξωτερικής Θερμομόνωσης (ΣΕΘ ή ETICS) στα κτίρια</w:t>
      </w:r>
      <w:r w:rsidR="00AD6958">
        <w:t xml:space="preserve">, καθορίζονται από την ευρωπαϊκή οδηγία  τεχνικής αξιολόγησης ETAG 004/2013, σύμφωνα με την οποία </w:t>
      </w:r>
      <w:r w:rsidR="00682E57" w:rsidRPr="00624744">
        <w:rPr>
          <w:b/>
        </w:rPr>
        <w:t>ΟΛΑ</w:t>
      </w:r>
      <w:r w:rsidR="00682E57">
        <w:t xml:space="preserve"> </w:t>
      </w:r>
      <w:r w:rsidR="00AD6958">
        <w:t>τα συστήματα ΣΕΘ ή ETICS θα πρέπει να αξιολογούνται σύμφωνα με τ</w:t>
      </w:r>
      <w:r w:rsidR="00682E57">
        <w:t>ο</w:t>
      </w:r>
      <w:r w:rsidR="00AD6958">
        <w:t xml:space="preserve"> πρότυπ</w:t>
      </w:r>
      <w:r w:rsidR="00682E57">
        <w:t>ο</w:t>
      </w:r>
      <w:r w:rsidR="00AD6958">
        <w:t xml:space="preserve"> </w:t>
      </w:r>
      <w:r w:rsidR="003113A6" w:rsidRPr="00624744">
        <w:rPr>
          <w:rFonts w:cs="Arial"/>
          <w:b/>
        </w:rPr>
        <w:t>EN 13501-1</w:t>
      </w:r>
      <w:r w:rsidR="00682E57">
        <w:rPr>
          <w:rFonts w:ascii="Arial" w:hAnsi="Arial" w:cs="Arial"/>
          <w:sz w:val="20"/>
          <w:szCs w:val="20"/>
        </w:rPr>
        <w:t xml:space="preserve"> </w:t>
      </w:r>
      <w:r w:rsidR="00AD6958">
        <w:t xml:space="preserve">και </w:t>
      </w:r>
      <w:r w:rsidR="00682E57">
        <w:t>να διαθέτουν Ευρωπαϊκή Τεχνική Αξιολόγηση (</w:t>
      </w:r>
      <w:r w:rsidR="00682E57" w:rsidRPr="00682E57">
        <w:rPr>
          <w:b/>
        </w:rPr>
        <w:t>ΕΤΑ</w:t>
      </w:r>
      <w:r w:rsidR="00682E57">
        <w:t xml:space="preserve">). </w:t>
      </w:r>
    </w:p>
    <w:p w:rsidR="00863D42" w:rsidRPr="00AE3A2B" w:rsidRDefault="00682E57" w:rsidP="00F021EE">
      <w:pPr>
        <w:spacing w:after="120"/>
      </w:pPr>
      <w:r>
        <w:t xml:space="preserve">Επιπλέον </w:t>
      </w:r>
      <w:r w:rsidR="00AD6958">
        <w:t xml:space="preserve">σύμφωνα με τον κανονισμό 305/2011 </w:t>
      </w:r>
      <w:r w:rsidR="00935DFF">
        <w:t xml:space="preserve">οφείλουν </w:t>
      </w:r>
      <w:r w:rsidR="00AD6958">
        <w:t xml:space="preserve">να ακολουθούν το σύστημα </w:t>
      </w:r>
      <w:r>
        <w:t xml:space="preserve">αξιολόγησης της επίδοσης </w:t>
      </w:r>
      <w:r w:rsidRPr="00684B3E">
        <w:rPr>
          <w:b/>
        </w:rPr>
        <w:t>1</w:t>
      </w:r>
      <w:r w:rsidR="00935DFF">
        <w:rPr>
          <w:b/>
        </w:rPr>
        <w:t xml:space="preserve"> (Σύστημα 1)</w:t>
      </w:r>
      <w:r>
        <w:t xml:space="preserve">, δηλαδή ο έλεγχος ποιότητας παραγωγής να διενεργείται σε εξαμηνιαία βάση από κοινοποιημένο φορέα στη </w:t>
      </w:r>
      <w:r w:rsidRPr="00624744">
        <w:rPr>
          <w:b/>
        </w:rPr>
        <w:t>CEN</w:t>
      </w:r>
      <w:r>
        <w:t xml:space="preserve"> και να φέρουν σήμανση </w:t>
      </w:r>
      <w:r w:rsidRPr="00682E57">
        <w:rPr>
          <w:b/>
        </w:rPr>
        <w:t>CE</w:t>
      </w:r>
      <w:r>
        <w:t>.</w:t>
      </w:r>
      <w:r w:rsidR="00AE3A2B">
        <w:t xml:space="preserve"> Ειδικά δε για την διογκωμένη πολυστερίνη </w:t>
      </w:r>
      <w:r w:rsidR="00AE3A2B">
        <w:rPr>
          <w:lang w:val="en-US"/>
        </w:rPr>
        <w:t>EPS</w:t>
      </w:r>
      <w:r w:rsidR="00AE3A2B" w:rsidRPr="00AE3A2B">
        <w:t xml:space="preserve"> </w:t>
      </w:r>
      <w:r w:rsidR="00AE3A2B">
        <w:t xml:space="preserve">προβλέπεται επιπλέον να είναι </w:t>
      </w:r>
      <w:r w:rsidR="00AE3A2B" w:rsidRPr="006E2F51">
        <w:rPr>
          <w:b/>
        </w:rPr>
        <w:t>αυτοσβενύμενη</w:t>
      </w:r>
      <w:r w:rsidR="00AE3A2B">
        <w:t xml:space="preserve">, δηλαδή ελλείψη εστίας </w:t>
      </w:r>
      <w:r w:rsidR="000A24F1">
        <w:t>πυρός</w:t>
      </w:r>
      <w:r w:rsidR="00935DFF">
        <w:t xml:space="preserve"> να</w:t>
      </w:r>
      <w:r w:rsidR="000A24F1">
        <w:t xml:space="preserve"> </w:t>
      </w:r>
      <w:r w:rsidR="000A24F1" w:rsidRPr="000A24F1">
        <w:rPr>
          <w:b/>
        </w:rPr>
        <w:t xml:space="preserve">σβήνει μόνη </w:t>
      </w:r>
      <w:r w:rsidR="000A24F1">
        <w:rPr>
          <w:b/>
        </w:rPr>
        <w:t>της.</w:t>
      </w:r>
    </w:p>
    <w:p w:rsidR="00935DFF" w:rsidRDefault="00935DFF" w:rsidP="00F021EE">
      <w:pPr>
        <w:spacing w:after="120"/>
      </w:pPr>
      <w:r>
        <w:t>Η ακρίβεια όλων των</w:t>
      </w:r>
      <w:r w:rsidR="00684B3E">
        <w:t xml:space="preserve"> ανωτέρω επιβεβαιώνονται από τα κατωτέρω στατιστικά στοιχεία που περιλαμβάνονται σε μελέτη ανεξάρτητου ινστιτούτου και δείχνουν </w:t>
      </w:r>
      <w:r>
        <w:t xml:space="preserve">τα αποτελέσματα και </w:t>
      </w:r>
      <w:r w:rsidR="00684B3E">
        <w:t xml:space="preserve">τις τάσεις της αγοράς σε δύο μεγάλες ευρωπαϊκές χώρες, την </w:t>
      </w:r>
      <w:r w:rsidR="00684B3E" w:rsidRPr="00935DFF">
        <w:rPr>
          <w:b/>
        </w:rPr>
        <w:t xml:space="preserve">Γαλλία </w:t>
      </w:r>
      <w:r w:rsidR="005E4246" w:rsidRPr="00935DFF">
        <w:rPr>
          <w:b/>
        </w:rPr>
        <w:t xml:space="preserve">με 3,5 </w:t>
      </w:r>
      <w:proofErr w:type="spellStart"/>
      <w:r w:rsidR="005E4246" w:rsidRPr="00935DFF">
        <w:rPr>
          <w:b/>
        </w:rPr>
        <w:t>εκατομ</w:t>
      </w:r>
      <w:proofErr w:type="spellEnd"/>
      <w:r w:rsidR="005E4246" w:rsidRPr="00935DFF">
        <w:rPr>
          <w:b/>
        </w:rPr>
        <w:t>. μ2</w:t>
      </w:r>
      <w:r w:rsidR="005E4246">
        <w:t xml:space="preserve"> </w:t>
      </w:r>
      <w:r w:rsidR="00684B3E">
        <w:t>και την Γερμανία</w:t>
      </w:r>
      <w:r w:rsidR="005E4246">
        <w:t xml:space="preserve"> με </w:t>
      </w:r>
      <w:r w:rsidR="005E4246" w:rsidRPr="00935DFF">
        <w:rPr>
          <w:b/>
        </w:rPr>
        <w:t xml:space="preserve">42 </w:t>
      </w:r>
      <w:proofErr w:type="spellStart"/>
      <w:r w:rsidR="005E4246" w:rsidRPr="00935DFF">
        <w:rPr>
          <w:b/>
        </w:rPr>
        <w:t>εκατομ</w:t>
      </w:r>
      <w:proofErr w:type="spellEnd"/>
      <w:r w:rsidR="005E4246" w:rsidRPr="00935DFF">
        <w:rPr>
          <w:b/>
        </w:rPr>
        <w:t>. μ2</w:t>
      </w:r>
      <w:r w:rsidR="00684B3E">
        <w:t xml:space="preserve">. </w:t>
      </w:r>
    </w:p>
    <w:p w:rsidR="00684B3E" w:rsidRPr="00935DFF" w:rsidRDefault="00684B3E" w:rsidP="00F021EE">
      <w:pPr>
        <w:spacing w:after="120"/>
        <w:rPr>
          <w:sz w:val="24"/>
          <w:szCs w:val="24"/>
        </w:rPr>
      </w:pPr>
      <w:r>
        <w:t xml:space="preserve">Περισσότερα στοιχεία </w:t>
      </w:r>
      <w:r w:rsidR="00935DFF">
        <w:t xml:space="preserve">για τις άλλες χώρες </w:t>
      </w:r>
      <w:r>
        <w:t xml:space="preserve">μπορείτε να βρείτε </w:t>
      </w:r>
      <w:hyperlink r:id="rId7" w:history="1">
        <w:r w:rsidR="0066723D" w:rsidRPr="00935DFF">
          <w:rPr>
            <w:rStyle w:val="Hyperlink"/>
            <w:b/>
            <w:sz w:val="24"/>
            <w:szCs w:val="24"/>
          </w:rPr>
          <w:t>εδώ</w:t>
        </w:r>
      </w:hyperlink>
      <w:r w:rsidR="0066723D" w:rsidRPr="00935DFF">
        <w:rPr>
          <w:sz w:val="24"/>
          <w:szCs w:val="24"/>
        </w:rPr>
        <w:t>.</w:t>
      </w:r>
    </w:p>
    <w:p w:rsidR="00680B95" w:rsidRDefault="005E4246" w:rsidP="00F021EE">
      <w:pPr>
        <w:spacing w:after="120"/>
      </w:pPr>
      <w:r>
        <w:rPr>
          <w:noProof/>
          <w:lang w:eastAsia="el-GR"/>
        </w:rPr>
        <w:lastRenderedPageBreak/>
        <w:drawing>
          <wp:inline distT="0" distB="0" distL="0" distR="0">
            <wp:extent cx="2903879" cy="21526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5774"/>
                    <a:stretch>
                      <a:fillRect/>
                    </a:stretch>
                  </pic:blipFill>
                  <pic:spPr bwMode="auto">
                    <a:xfrm>
                      <a:off x="0" y="0"/>
                      <a:ext cx="2904141" cy="2152873"/>
                    </a:xfrm>
                    <a:prstGeom prst="rect">
                      <a:avLst/>
                    </a:prstGeom>
                    <a:noFill/>
                    <a:ln w="9525">
                      <a:noFill/>
                      <a:miter lim="800000"/>
                      <a:headEnd/>
                      <a:tailEnd/>
                    </a:ln>
                  </pic:spPr>
                </pic:pic>
              </a:graphicData>
            </a:graphic>
          </wp:inline>
        </w:drawing>
      </w:r>
      <w:r w:rsidRPr="005E4246">
        <w:t xml:space="preserve"> </w:t>
      </w:r>
      <w:r>
        <w:rPr>
          <w:noProof/>
          <w:lang w:eastAsia="el-GR"/>
        </w:rPr>
        <w:drawing>
          <wp:inline distT="0" distB="0" distL="0" distR="0">
            <wp:extent cx="2913931" cy="2152678"/>
            <wp:effectExtent l="19050" t="0" r="71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r="4920"/>
                    <a:stretch>
                      <a:fillRect/>
                    </a:stretch>
                  </pic:blipFill>
                  <pic:spPr bwMode="auto">
                    <a:xfrm>
                      <a:off x="0" y="0"/>
                      <a:ext cx="2920741" cy="2157709"/>
                    </a:xfrm>
                    <a:prstGeom prst="rect">
                      <a:avLst/>
                    </a:prstGeom>
                    <a:noFill/>
                    <a:ln w="9525">
                      <a:noFill/>
                      <a:miter lim="800000"/>
                      <a:headEnd/>
                      <a:tailEnd/>
                    </a:ln>
                  </pic:spPr>
                </pic:pic>
              </a:graphicData>
            </a:graphic>
          </wp:inline>
        </w:drawing>
      </w:r>
    </w:p>
    <w:p w:rsidR="0066723D" w:rsidRPr="0066723D" w:rsidRDefault="0066723D" w:rsidP="00680B95">
      <w:pPr>
        <w:spacing w:after="120"/>
      </w:pPr>
      <w:r>
        <w:t xml:space="preserve">Η προτίμηση στα Συστήματα Εξωτερικής Θερμομόνωσης με διογκωμένη πολυστερίνη </w:t>
      </w:r>
      <w:r>
        <w:rPr>
          <w:lang w:val="en-US"/>
        </w:rPr>
        <w:t>EPS</w:t>
      </w:r>
      <w:r w:rsidR="00587B40">
        <w:t xml:space="preserve"> </w:t>
      </w:r>
      <w:r w:rsidRPr="0066723D">
        <w:t>(</w:t>
      </w:r>
      <w:proofErr w:type="spellStart"/>
      <w:r>
        <w:rPr>
          <w:lang w:val="en-US"/>
        </w:rPr>
        <w:t>Styropor</w:t>
      </w:r>
      <w:proofErr w:type="spellEnd"/>
      <w:r w:rsidRPr="0066723D">
        <w:t xml:space="preserve">) </w:t>
      </w:r>
      <w:r>
        <w:t>είναι προφανής</w:t>
      </w:r>
      <w:r w:rsidR="00587B40">
        <w:t xml:space="preserve"> και σαφώς </w:t>
      </w:r>
      <w:r w:rsidR="00935DFF">
        <w:t>ΔΕΝ</w:t>
      </w:r>
      <w:r w:rsidR="00587B40">
        <w:t xml:space="preserve"> τίθεται θέμα ΜΗ τήρησης των κανονισμών πυροπροστασίας </w:t>
      </w:r>
      <w:r w:rsidR="00587B40" w:rsidRPr="00587B40">
        <w:rPr>
          <w:b/>
        </w:rPr>
        <w:t>Πανευρωπαϊκά</w:t>
      </w:r>
      <w:r>
        <w:t>.</w:t>
      </w:r>
    </w:p>
    <w:p w:rsidR="00680B95" w:rsidRDefault="00680B95" w:rsidP="00680B95">
      <w:pPr>
        <w:spacing w:after="120"/>
      </w:pPr>
      <w:r>
        <w:t xml:space="preserve">Κατωτέρω παρουσιάζονται δύο </w:t>
      </w:r>
      <w:r w:rsidR="00587B40">
        <w:t xml:space="preserve">αποσπάσματα από τις </w:t>
      </w:r>
      <w:r>
        <w:t xml:space="preserve">ΕΤΑ της ίδιας εταιρείας με </w:t>
      </w:r>
      <w:r w:rsidR="005A097A">
        <w:t xml:space="preserve">διογκωμένη πολυστερίνη </w:t>
      </w:r>
      <w:r w:rsidR="005A097A">
        <w:rPr>
          <w:lang w:val="en-US"/>
        </w:rPr>
        <w:t>EPS</w:t>
      </w:r>
      <w:r w:rsidR="005A097A">
        <w:t xml:space="preserve"> και με πετροβάμβακα </w:t>
      </w:r>
      <w:r w:rsidR="005A097A">
        <w:rPr>
          <w:lang w:val="en-US"/>
        </w:rPr>
        <w:t>MW</w:t>
      </w:r>
      <w:r>
        <w:t>. Η ταυτότητα της εταιρείας έχει καλυφθεί για λόγους αντικειμενικότητας.</w:t>
      </w:r>
    </w:p>
    <w:p w:rsidR="00587B40" w:rsidRDefault="00587B40" w:rsidP="00426D0D">
      <w:pPr>
        <w:spacing w:after="0" w:line="240" w:lineRule="auto"/>
        <w:rPr>
          <w:lang w:val="en-US"/>
        </w:rPr>
      </w:pPr>
      <w:r w:rsidRPr="001C5C79">
        <w:rPr>
          <w:noProof/>
          <w:lang w:eastAsia="el-GR"/>
        </w:rPr>
        <w:drawing>
          <wp:inline distT="0" distB="0" distL="0" distR="0">
            <wp:extent cx="2163433" cy="180743"/>
            <wp:effectExtent l="19050" t="0" r="8267"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200736" cy="183859"/>
                    </a:xfrm>
                    <a:prstGeom prst="rect">
                      <a:avLst/>
                    </a:prstGeom>
                    <a:noFill/>
                    <a:ln w="9525">
                      <a:noFill/>
                      <a:miter lim="800000"/>
                      <a:headEnd/>
                      <a:tailEnd/>
                    </a:ln>
                  </pic:spPr>
                </pic:pic>
              </a:graphicData>
            </a:graphic>
          </wp:inline>
        </w:drawing>
      </w:r>
    </w:p>
    <w:p w:rsidR="00587B40" w:rsidRDefault="00074374" w:rsidP="00587B40">
      <w:pPr>
        <w:spacing w:line="240" w:lineRule="auto"/>
        <w:rPr>
          <w:lang w:val="en-US"/>
        </w:rPr>
      </w:pPr>
      <w:r>
        <w:rPr>
          <w:noProof/>
          <w:lang w:eastAsia="el-GR"/>
        </w:rPr>
        <w:drawing>
          <wp:anchor distT="0" distB="0" distL="114300" distR="114300" simplePos="0" relativeHeight="251658240" behindDoc="0" locked="0" layoutInCell="1" allowOverlap="1">
            <wp:simplePos x="0" y="0"/>
            <wp:positionH relativeFrom="column">
              <wp:posOffset>5044152</wp:posOffset>
            </wp:positionH>
            <wp:positionV relativeFrom="paragraph">
              <wp:posOffset>402422</wp:posOffset>
            </wp:positionV>
            <wp:extent cx="1145516" cy="1068760"/>
            <wp:effectExtent l="19050" t="0" r="0" b="0"/>
            <wp:wrapNone/>
            <wp:docPr id="3" name="Picture 3" descr="C:\Documents and Settings\ppo\Local Settings\Temporary Internet Files\Content.Word\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po\Local Settings\Temporary Internet Files\Content.Word\images1.jpg"/>
                    <pic:cNvPicPr>
                      <a:picLocks noChangeAspect="1" noChangeArrowheads="1"/>
                    </pic:cNvPicPr>
                  </pic:nvPicPr>
                  <pic:blipFill>
                    <a:blip r:embed="rId11"/>
                    <a:srcRect/>
                    <a:stretch>
                      <a:fillRect/>
                    </a:stretch>
                  </pic:blipFill>
                  <pic:spPr bwMode="auto">
                    <a:xfrm>
                      <a:off x="0" y="0"/>
                      <a:ext cx="1145461" cy="1068709"/>
                    </a:xfrm>
                    <a:prstGeom prst="rect">
                      <a:avLst/>
                    </a:prstGeom>
                    <a:noFill/>
                    <a:ln w="9525">
                      <a:noFill/>
                      <a:miter lim="800000"/>
                      <a:headEnd/>
                      <a:tailEnd/>
                    </a:ln>
                  </pic:spPr>
                </pic:pic>
              </a:graphicData>
            </a:graphic>
          </wp:anchor>
        </w:drawing>
      </w:r>
      <w:r w:rsidR="00587B40">
        <w:rPr>
          <w:noProof/>
          <w:lang w:eastAsia="el-GR"/>
        </w:rPr>
        <w:drawing>
          <wp:inline distT="0" distB="0" distL="0" distR="0">
            <wp:extent cx="3897343" cy="337734"/>
            <wp:effectExtent l="19050" t="0" r="790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963397" cy="343458"/>
                    </a:xfrm>
                    <a:prstGeom prst="rect">
                      <a:avLst/>
                    </a:prstGeom>
                    <a:noFill/>
                    <a:ln w="9525">
                      <a:noFill/>
                      <a:miter lim="800000"/>
                      <a:headEnd/>
                      <a:tailEnd/>
                    </a:ln>
                  </pic:spPr>
                </pic:pic>
              </a:graphicData>
            </a:graphic>
          </wp:inline>
        </w:drawing>
      </w:r>
    </w:p>
    <w:tbl>
      <w:tblPr>
        <w:tblStyle w:val="TableGrid"/>
        <w:tblW w:w="0" w:type="auto"/>
        <w:tblLayout w:type="fixed"/>
        <w:tblLook w:val="04A0"/>
      </w:tblPr>
      <w:tblGrid>
        <w:gridCol w:w="3510"/>
        <w:gridCol w:w="4536"/>
      </w:tblGrid>
      <w:tr w:rsidR="00426D0D" w:rsidRPr="00426D0D" w:rsidTr="005D1E47">
        <w:tc>
          <w:tcPr>
            <w:tcW w:w="8046" w:type="dxa"/>
            <w:gridSpan w:val="2"/>
          </w:tcPr>
          <w:p w:rsidR="00426D0D" w:rsidRPr="00426D0D" w:rsidRDefault="00E328B3" w:rsidP="001821A1">
            <w:pPr>
              <w:rPr>
                <w:lang w:val="en-US"/>
              </w:rPr>
            </w:pPr>
            <w:r>
              <w:object w:dxaOrig="783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5pt;height:38.7pt" o:ole="">
                  <v:imagedata r:id="rId13" o:title=""/>
                </v:shape>
                <o:OLEObject Type="Embed" ProgID="PBrush" ShapeID="_x0000_i1025" DrawAspect="Content" ObjectID="_1477217406" r:id="rId14"/>
              </w:object>
            </w:r>
          </w:p>
        </w:tc>
      </w:tr>
      <w:tr w:rsidR="00587B40" w:rsidTr="005D1E47">
        <w:tc>
          <w:tcPr>
            <w:tcW w:w="3510" w:type="dxa"/>
          </w:tcPr>
          <w:p w:rsidR="00587B40" w:rsidRDefault="00587B40" w:rsidP="00CA4D64">
            <w:pPr>
              <w:rPr>
                <w:lang w:val="en-US"/>
              </w:rPr>
            </w:pPr>
            <w:r w:rsidRPr="002F7DA1">
              <w:rPr>
                <w:noProof/>
                <w:lang w:eastAsia="el-GR"/>
              </w:rPr>
              <w:drawing>
                <wp:inline distT="0" distB="0" distL="0" distR="0">
                  <wp:extent cx="2109135" cy="461918"/>
                  <wp:effectExtent l="19050" t="0" r="541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t="6394" b="8892"/>
                          <a:stretch>
                            <a:fillRect/>
                          </a:stretch>
                        </pic:blipFill>
                        <pic:spPr bwMode="auto">
                          <a:xfrm>
                            <a:off x="0" y="0"/>
                            <a:ext cx="2111809" cy="462504"/>
                          </a:xfrm>
                          <a:prstGeom prst="rect">
                            <a:avLst/>
                          </a:prstGeom>
                          <a:noFill/>
                          <a:ln w="9525">
                            <a:noFill/>
                            <a:miter lim="800000"/>
                            <a:headEnd/>
                            <a:tailEnd/>
                          </a:ln>
                        </pic:spPr>
                      </pic:pic>
                    </a:graphicData>
                  </a:graphic>
                </wp:inline>
              </w:drawing>
            </w:r>
          </w:p>
        </w:tc>
        <w:tc>
          <w:tcPr>
            <w:tcW w:w="4536" w:type="dxa"/>
            <w:vAlign w:val="center"/>
          </w:tcPr>
          <w:p w:rsidR="00587B40" w:rsidRDefault="00587B40" w:rsidP="00CA4D64">
            <w:pPr>
              <w:jc w:val="center"/>
              <w:rPr>
                <w:lang w:val="en-US"/>
              </w:rPr>
            </w:pPr>
            <w:r w:rsidRPr="002F7DA1">
              <w:rPr>
                <w:noProof/>
                <w:lang w:eastAsia="el-GR"/>
              </w:rPr>
              <w:drawing>
                <wp:inline distT="0" distB="0" distL="0" distR="0">
                  <wp:extent cx="2657475" cy="390525"/>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657475" cy="390525"/>
                          </a:xfrm>
                          <a:prstGeom prst="rect">
                            <a:avLst/>
                          </a:prstGeom>
                          <a:noFill/>
                          <a:ln w="9525">
                            <a:noFill/>
                            <a:miter lim="800000"/>
                            <a:headEnd/>
                            <a:tailEnd/>
                          </a:ln>
                        </pic:spPr>
                      </pic:pic>
                    </a:graphicData>
                  </a:graphic>
                </wp:inline>
              </w:drawing>
            </w:r>
          </w:p>
        </w:tc>
      </w:tr>
    </w:tbl>
    <w:p w:rsidR="00587B40" w:rsidRDefault="00B2402E" w:rsidP="005D1E47">
      <w:pPr>
        <w:spacing w:before="120" w:after="0" w:line="240" w:lineRule="auto"/>
      </w:pPr>
      <w:r>
        <w:rPr>
          <w:noProof/>
          <w:lang w:eastAsia="el-GR"/>
        </w:rPr>
        <w:drawing>
          <wp:anchor distT="0" distB="0" distL="114300" distR="114300" simplePos="0" relativeHeight="251659264" behindDoc="0" locked="0" layoutInCell="1" allowOverlap="1">
            <wp:simplePos x="0" y="0"/>
            <wp:positionH relativeFrom="column">
              <wp:posOffset>5044152</wp:posOffset>
            </wp:positionH>
            <wp:positionV relativeFrom="paragraph">
              <wp:posOffset>147236</wp:posOffset>
            </wp:positionV>
            <wp:extent cx="1145516" cy="1181819"/>
            <wp:effectExtent l="19050" t="0" r="0" b="0"/>
            <wp:wrapNone/>
            <wp:docPr id="4" name="Picture 3" descr="F:\ΑΡΧΕΙΑ\APΧΕΙΑ ΠΠ\EPS\ΦΩΤΟ-ΔΙΑΦΗΜΙΣΤΙΚΑ\ΦΩΤΟ\ET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ΑΡΧΕΙΑ\APΧΕΙΑ ΠΠ\EPS\ΦΩΤΟ-ΔΙΑΦΗΜΙΣΤΙΚΑ\ΦΩΤΟ\ETICS\1.jpg"/>
                    <pic:cNvPicPr>
                      <a:picLocks noChangeAspect="1" noChangeArrowheads="1"/>
                    </pic:cNvPicPr>
                  </pic:nvPicPr>
                  <pic:blipFill>
                    <a:blip r:embed="rId17" cstate="print"/>
                    <a:srcRect/>
                    <a:stretch>
                      <a:fillRect/>
                    </a:stretch>
                  </pic:blipFill>
                  <pic:spPr bwMode="auto">
                    <a:xfrm>
                      <a:off x="0" y="0"/>
                      <a:ext cx="1145516" cy="1181819"/>
                    </a:xfrm>
                    <a:prstGeom prst="rect">
                      <a:avLst/>
                    </a:prstGeom>
                    <a:noFill/>
                    <a:ln w="9525">
                      <a:noFill/>
                      <a:miter lim="800000"/>
                      <a:headEnd/>
                      <a:tailEnd/>
                    </a:ln>
                  </pic:spPr>
                </pic:pic>
              </a:graphicData>
            </a:graphic>
          </wp:anchor>
        </w:drawing>
      </w:r>
    </w:p>
    <w:tbl>
      <w:tblPr>
        <w:tblStyle w:val="TableGrid"/>
        <w:tblW w:w="0" w:type="auto"/>
        <w:tblLayout w:type="fixed"/>
        <w:tblLook w:val="04A0"/>
      </w:tblPr>
      <w:tblGrid>
        <w:gridCol w:w="3510"/>
        <w:gridCol w:w="4536"/>
      </w:tblGrid>
      <w:tr w:rsidR="00426D0D" w:rsidRPr="00426D0D" w:rsidTr="005D1E47">
        <w:tc>
          <w:tcPr>
            <w:tcW w:w="8046" w:type="dxa"/>
            <w:gridSpan w:val="2"/>
            <w:vAlign w:val="center"/>
          </w:tcPr>
          <w:p w:rsidR="00426D0D" w:rsidRPr="005D1E47" w:rsidRDefault="005D1E47" w:rsidP="00426D0D">
            <w:pPr>
              <w:jc w:val="left"/>
              <w:rPr>
                <w:sz w:val="2"/>
                <w:szCs w:val="2"/>
              </w:rPr>
            </w:pPr>
            <w:r w:rsidRPr="005D1E47">
              <w:rPr>
                <w:sz w:val="2"/>
                <w:szCs w:val="2"/>
              </w:rPr>
              <w:object w:dxaOrig="8310" w:dyaOrig="825">
                <v:shape id="_x0000_i1026" type="#_x0000_t75" style="width:392.6pt;height:39.4pt" o:ole="">
                  <v:imagedata r:id="rId18" o:title=""/>
                </v:shape>
                <o:OLEObject Type="Embed" ProgID="PBrush" ShapeID="_x0000_i1026" DrawAspect="Content" ObjectID="_1477217407" r:id="rId19"/>
              </w:object>
            </w:r>
          </w:p>
        </w:tc>
      </w:tr>
      <w:tr w:rsidR="00587B40" w:rsidTr="005D1E47">
        <w:tc>
          <w:tcPr>
            <w:tcW w:w="3510" w:type="dxa"/>
          </w:tcPr>
          <w:p w:rsidR="00587B40" w:rsidRDefault="00587B40" w:rsidP="00CA4D64">
            <w:pPr>
              <w:rPr>
                <w:lang w:val="en-US"/>
              </w:rPr>
            </w:pPr>
            <w:r w:rsidRPr="002F7DA1">
              <w:rPr>
                <w:noProof/>
                <w:lang w:eastAsia="el-GR"/>
              </w:rPr>
              <w:drawing>
                <wp:inline distT="0" distB="0" distL="0" distR="0">
                  <wp:extent cx="2051290" cy="405578"/>
                  <wp:effectExtent l="19050" t="0" r="611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t="6593" b="36263"/>
                          <a:stretch>
                            <a:fillRect/>
                          </a:stretch>
                        </pic:blipFill>
                        <pic:spPr bwMode="auto">
                          <a:xfrm>
                            <a:off x="0" y="0"/>
                            <a:ext cx="2096357" cy="414488"/>
                          </a:xfrm>
                          <a:prstGeom prst="rect">
                            <a:avLst/>
                          </a:prstGeom>
                          <a:noFill/>
                          <a:ln w="9525">
                            <a:noFill/>
                            <a:miter lim="800000"/>
                            <a:headEnd/>
                            <a:tailEnd/>
                          </a:ln>
                        </pic:spPr>
                      </pic:pic>
                    </a:graphicData>
                  </a:graphic>
                </wp:inline>
              </w:drawing>
            </w:r>
          </w:p>
        </w:tc>
        <w:tc>
          <w:tcPr>
            <w:tcW w:w="4536" w:type="dxa"/>
            <w:vAlign w:val="center"/>
          </w:tcPr>
          <w:p w:rsidR="00587B40" w:rsidRDefault="00587B40" w:rsidP="00CA4D64">
            <w:pPr>
              <w:jc w:val="center"/>
              <w:rPr>
                <w:lang w:val="en-US"/>
              </w:rPr>
            </w:pPr>
            <w:r>
              <w:rPr>
                <w:noProof/>
                <w:lang w:eastAsia="el-GR"/>
              </w:rPr>
              <w:drawing>
                <wp:inline distT="0" distB="0" distL="0" distR="0">
                  <wp:extent cx="2667000" cy="4095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667000" cy="409575"/>
                          </a:xfrm>
                          <a:prstGeom prst="rect">
                            <a:avLst/>
                          </a:prstGeom>
                          <a:noFill/>
                          <a:ln w="9525">
                            <a:noFill/>
                            <a:miter lim="800000"/>
                            <a:headEnd/>
                            <a:tailEnd/>
                          </a:ln>
                        </pic:spPr>
                      </pic:pic>
                    </a:graphicData>
                  </a:graphic>
                </wp:inline>
              </w:drawing>
            </w:r>
          </w:p>
        </w:tc>
      </w:tr>
    </w:tbl>
    <w:p w:rsidR="0066723D" w:rsidRPr="00AE3A2B" w:rsidRDefault="0066723D" w:rsidP="00E114C0">
      <w:pPr>
        <w:spacing w:after="0" w:line="240" w:lineRule="auto"/>
      </w:pPr>
    </w:p>
    <w:p w:rsidR="005A097A" w:rsidRPr="005A097A" w:rsidRDefault="005A097A" w:rsidP="00F021EE">
      <w:pPr>
        <w:spacing w:after="120"/>
      </w:pPr>
      <w:r>
        <w:t xml:space="preserve">Όπως διαπιστώνουμε τα αποτελέσματα των δοκιμών σε φωτιά με την ίδια μεθοδολογία έχουν παρόμοια αποτελέσματα αφού και τα δύο υλικά αξιολογούνται ως </w:t>
      </w:r>
      <w:r w:rsidRPr="00426D0D">
        <w:rPr>
          <w:b/>
        </w:rPr>
        <w:t>αυτοσβενύμενα</w:t>
      </w:r>
      <w:r>
        <w:t xml:space="preserve"> και βεβαίως </w:t>
      </w:r>
      <w:r w:rsidR="00587B40" w:rsidRPr="00426D0D">
        <w:rPr>
          <w:b/>
        </w:rPr>
        <w:t>ΟΧΙ</w:t>
      </w:r>
      <w:r>
        <w:t xml:space="preserve"> «άκαυστα»</w:t>
      </w:r>
      <w:r w:rsidR="00587B40">
        <w:t xml:space="preserve"> όπως ισχυρίζονται ορισμένοι στη χώρα μας, με σκοπό την παραπληροφόρηση και την χειραγώγηση της αγοράς</w:t>
      </w:r>
      <w:r>
        <w:t>.</w:t>
      </w:r>
    </w:p>
    <w:p w:rsidR="00684B3E" w:rsidRDefault="00684B3E" w:rsidP="00F021EE">
      <w:pPr>
        <w:spacing w:after="120"/>
      </w:pPr>
      <w:r>
        <w:t>Συνεπώς η ασφάλεια των</w:t>
      </w:r>
      <w:r w:rsidR="00680B95">
        <w:t xml:space="preserve"> κτιρίων δεν καθορίζεται από τα συμφέροντα του ενός, αλλά από την πιστή εφαρμογή των κανονισμών και των προτύπων, τόσο στα υλικά όσο και στα συστήματα.</w:t>
      </w:r>
    </w:p>
    <w:p w:rsidR="00680B95" w:rsidRPr="00E114C0" w:rsidRDefault="00680B95" w:rsidP="00E114C0">
      <w:pPr>
        <w:spacing w:after="120"/>
        <w:jc w:val="center"/>
        <w:rPr>
          <w:b/>
          <w:sz w:val="24"/>
          <w:szCs w:val="24"/>
        </w:rPr>
      </w:pPr>
      <w:r w:rsidRPr="00E114C0">
        <w:rPr>
          <w:b/>
          <w:sz w:val="24"/>
          <w:szCs w:val="24"/>
        </w:rPr>
        <w:t>Τα Σύνθετα Συστήματα Εξωτερικής Θερμομόνωσης (ΣΕΘ ή ETICS) που διαθέτουν ΕΤΑ και CE στο Σύστημα 1, είναι απόλυτα ασφαλή για όλα τα κτίρια.</w:t>
      </w:r>
    </w:p>
    <w:p w:rsidR="00F021EE" w:rsidRPr="00587B40" w:rsidRDefault="00F021EE" w:rsidP="00587B40">
      <w:pPr>
        <w:spacing w:after="0"/>
        <w:rPr>
          <w:rFonts w:ascii="Times New Roman" w:hAnsi="Times New Roman" w:cs="Times New Roman"/>
          <w:b/>
        </w:rPr>
      </w:pPr>
      <w:r w:rsidRPr="00587B40">
        <w:rPr>
          <w:rFonts w:ascii="Times New Roman" w:hAnsi="Times New Roman" w:cs="Times New Roman"/>
          <w:b/>
        </w:rPr>
        <w:t>Η επιστημονική γνώση</w:t>
      </w:r>
      <w:r w:rsidR="00426D0D" w:rsidRPr="00426D0D">
        <w:rPr>
          <w:rFonts w:ascii="Times New Roman" w:hAnsi="Times New Roman" w:cs="Times New Roman"/>
          <w:b/>
        </w:rPr>
        <w:t xml:space="preserve"> </w:t>
      </w:r>
      <w:r w:rsidR="00426D0D" w:rsidRPr="00587B40">
        <w:rPr>
          <w:rFonts w:ascii="Times New Roman" w:hAnsi="Times New Roman" w:cs="Times New Roman"/>
          <w:b/>
        </w:rPr>
        <w:t>στην υπηρεσία</w:t>
      </w:r>
      <w:r w:rsidRPr="00587B40">
        <w:rPr>
          <w:rFonts w:ascii="Times New Roman" w:hAnsi="Times New Roman" w:cs="Times New Roman"/>
          <w:b/>
        </w:rPr>
        <w:t>,</w:t>
      </w:r>
    </w:p>
    <w:p w:rsidR="00F021EE" w:rsidRPr="00587B40" w:rsidRDefault="00F021EE" w:rsidP="00426D0D">
      <w:pPr>
        <w:pStyle w:val="ListParagraph"/>
        <w:numPr>
          <w:ilvl w:val="0"/>
          <w:numId w:val="1"/>
        </w:numPr>
        <w:spacing w:after="120"/>
        <w:ind w:left="142" w:right="-144" w:hanging="142"/>
        <w:rPr>
          <w:rFonts w:ascii="Times New Roman" w:hAnsi="Times New Roman" w:cs="Times New Roman"/>
          <w:b/>
        </w:rPr>
      </w:pPr>
      <w:r w:rsidRPr="00587B40">
        <w:rPr>
          <w:rFonts w:ascii="Times New Roman" w:hAnsi="Times New Roman" w:cs="Times New Roman"/>
          <w:b/>
        </w:rPr>
        <w:t>του δημοσίου συμφέροντος οδηγεί την κοινωνία σε πρόοδο και ελευθερώνει τον άνθρωπο.</w:t>
      </w:r>
    </w:p>
    <w:p w:rsidR="00F021EE" w:rsidRPr="00587B40" w:rsidRDefault="00F021EE" w:rsidP="00426D0D">
      <w:pPr>
        <w:pStyle w:val="ListParagraph"/>
        <w:numPr>
          <w:ilvl w:val="0"/>
          <w:numId w:val="1"/>
        </w:numPr>
        <w:spacing w:after="120"/>
        <w:ind w:left="142" w:right="-144" w:hanging="142"/>
        <w:rPr>
          <w:rFonts w:ascii="Times New Roman" w:hAnsi="Times New Roman" w:cs="Times New Roman"/>
          <w:b/>
        </w:rPr>
      </w:pPr>
      <w:r w:rsidRPr="00587B40">
        <w:rPr>
          <w:rFonts w:ascii="Times New Roman" w:hAnsi="Times New Roman" w:cs="Times New Roman"/>
          <w:b/>
        </w:rPr>
        <w:t>του ιδιωτικού συμφέροντος οδηγεί την κοινωνία σε κρίση και υποδουλώνει τον άνθρωπο.</w:t>
      </w:r>
    </w:p>
    <w:p w:rsidR="00E114C0" w:rsidRPr="00787110" w:rsidRDefault="00E114C0" w:rsidP="00E114C0">
      <w:r>
        <w:t xml:space="preserve">Περισσότερα αναλυτικά στοιχεία υπάρχουν στην ιστοσελίδα του Συνδέσμου: </w:t>
      </w:r>
      <w:hyperlink r:id="rId22" w:history="1">
        <w:r w:rsidRPr="00E114C0">
          <w:rPr>
            <w:rStyle w:val="Hyperlink"/>
            <w:rFonts w:ascii="Arial" w:hAnsi="Arial" w:cs="Arial"/>
            <w:b/>
            <w:lang w:val="en-US"/>
          </w:rPr>
          <w:t>www</w:t>
        </w:r>
        <w:r w:rsidRPr="00E114C0">
          <w:rPr>
            <w:rStyle w:val="Hyperlink"/>
            <w:rFonts w:ascii="Arial" w:hAnsi="Arial" w:cs="Arial"/>
            <w:b/>
          </w:rPr>
          <w:t>.</w:t>
        </w:r>
        <w:r w:rsidRPr="00E114C0">
          <w:rPr>
            <w:rStyle w:val="Hyperlink"/>
            <w:rFonts w:ascii="Arial" w:hAnsi="Arial" w:cs="Arial"/>
            <w:b/>
            <w:lang w:val="en-US"/>
          </w:rPr>
          <w:t>epshellas</w:t>
        </w:r>
        <w:r w:rsidRPr="00E114C0">
          <w:rPr>
            <w:rStyle w:val="Hyperlink"/>
            <w:rFonts w:ascii="Arial" w:hAnsi="Arial" w:cs="Arial"/>
            <w:b/>
          </w:rPr>
          <w:t>.</w:t>
        </w:r>
        <w:r w:rsidRPr="00E114C0">
          <w:rPr>
            <w:rStyle w:val="Hyperlink"/>
            <w:rFonts w:ascii="Arial" w:hAnsi="Arial" w:cs="Arial"/>
            <w:b/>
            <w:lang w:val="en-US"/>
          </w:rPr>
          <w:t>com</w:t>
        </w:r>
      </w:hyperlink>
      <w:r w:rsidRPr="00787110">
        <w:t xml:space="preserve"> </w:t>
      </w:r>
    </w:p>
    <w:p w:rsidR="00E114C0" w:rsidRPr="00E114C0" w:rsidRDefault="00E114C0" w:rsidP="00935DFF">
      <w:pPr>
        <w:spacing w:before="120" w:after="0"/>
        <w:rPr>
          <w:rStyle w:val="a"/>
          <w:rFonts w:asciiTheme="minorHAnsi" w:hAnsiTheme="minorHAnsi" w:cs="Tahoma"/>
          <w:sz w:val="22"/>
        </w:rPr>
      </w:pPr>
      <w:r w:rsidRPr="00E114C0">
        <w:rPr>
          <w:rStyle w:val="a"/>
          <w:rFonts w:asciiTheme="minorHAnsi" w:hAnsiTheme="minorHAnsi" w:cs="Tahoma"/>
          <w:sz w:val="22"/>
        </w:rPr>
        <w:t>Παντελής Πατενιώτης</w:t>
      </w:r>
      <w:r w:rsidRPr="00E114C0">
        <w:rPr>
          <w:rStyle w:val="a"/>
          <w:rFonts w:asciiTheme="minorHAnsi" w:hAnsiTheme="minorHAnsi" w:cs="Tahoma"/>
          <w:sz w:val="22"/>
        </w:rPr>
        <w:tab/>
      </w:r>
      <w:r w:rsidRPr="00E114C0">
        <w:rPr>
          <w:rStyle w:val="a"/>
          <w:rFonts w:asciiTheme="minorHAnsi" w:hAnsiTheme="minorHAnsi" w:cs="Tahoma"/>
          <w:sz w:val="22"/>
        </w:rPr>
        <w:tab/>
      </w:r>
      <w:r w:rsidRPr="00E114C0">
        <w:rPr>
          <w:rStyle w:val="a"/>
          <w:rFonts w:asciiTheme="minorHAnsi" w:hAnsiTheme="minorHAnsi" w:cs="Tahoma"/>
          <w:sz w:val="22"/>
        </w:rPr>
        <w:tab/>
      </w:r>
      <w:r w:rsidRPr="00E114C0">
        <w:rPr>
          <w:rStyle w:val="a"/>
          <w:rFonts w:asciiTheme="minorHAnsi" w:hAnsiTheme="minorHAnsi" w:cs="Tahoma"/>
          <w:sz w:val="22"/>
        </w:rPr>
        <w:tab/>
      </w:r>
    </w:p>
    <w:p w:rsidR="00F021EE" w:rsidRPr="00E114C0" w:rsidRDefault="00E114C0" w:rsidP="00E114C0">
      <w:pPr>
        <w:rPr>
          <w:rFonts w:ascii="Tahoma" w:hAnsi="Tahoma" w:cs="Tahoma"/>
          <w:sz w:val="18"/>
        </w:rPr>
      </w:pPr>
      <w:r w:rsidRPr="00E114C0">
        <w:rPr>
          <w:rStyle w:val="a"/>
          <w:rFonts w:asciiTheme="minorHAnsi" w:hAnsiTheme="minorHAnsi" w:cs="Tahoma"/>
          <w:sz w:val="22"/>
        </w:rPr>
        <w:t>Γενικός Διευθυντής  ΠΑ.ΣΥ.ΔΙ.Π.</w:t>
      </w:r>
      <w:r>
        <w:rPr>
          <w:rStyle w:val="a"/>
          <w:rFonts w:ascii="Tahoma" w:hAnsi="Tahoma" w:cs="Tahoma"/>
        </w:rPr>
        <w:tab/>
      </w:r>
      <w:r>
        <w:rPr>
          <w:rStyle w:val="a"/>
          <w:rFonts w:ascii="Tahoma" w:hAnsi="Tahoma" w:cs="Tahoma"/>
        </w:rPr>
        <w:tab/>
      </w:r>
      <w:r>
        <w:rPr>
          <w:rStyle w:val="a"/>
          <w:rFonts w:ascii="Tahoma" w:hAnsi="Tahoma" w:cs="Tahoma"/>
        </w:rPr>
        <w:tab/>
      </w:r>
      <w:r>
        <w:rPr>
          <w:rStyle w:val="a"/>
          <w:rFonts w:ascii="Tahoma" w:hAnsi="Tahoma" w:cs="Tahoma"/>
        </w:rPr>
        <w:tab/>
      </w:r>
    </w:p>
    <w:sectPr w:rsidR="00F021EE" w:rsidRPr="00E114C0" w:rsidSect="005E4246">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D1CC0"/>
    <w:multiLevelType w:val="hybridMultilevel"/>
    <w:tmpl w:val="46DE0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F021EE"/>
    <w:rsid w:val="00074374"/>
    <w:rsid w:val="000A24F1"/>
    <w:rsid w:val="00201EE0"/>
    <w:rsid w:val="0026481C"/>
    <w:rsid w:val="00303ECE"/>
    <w:rsid w:val="003113A6"/>
    <w:rsid w:val="00410E5C"/>
    <w:rsid w:val="00426D0D"/>
    <w:rsid w:val="00574C34"/>
    <w:rsid w:val="00587B40"/>
    <w:rsid w:val="005A097A"/>
    <w:rsid w:val="005D1E47"/>
    <w:rsid w:val="005E4246"/>
    <w:rsid w:val="00624744"/>
    <w:rsid w:val="0066723D"/>
    <w:rsid w:val="00680B95"/>
    <w:rsid w:val="00682E57"/>
    <w:rsid w:val="00684B3E"/>
    <w:rsid w:val="006E2F51"/>
    <w:rsid w:val="00732DE4"/>
    <w:rsid w:val="00813BD9"/>
    <w:rsid w:val="00863D42"/>
    <w:rsid w:val="00894544"/>
    <w:rsid w:val="008A5687"/>
    <w:rsid w:val="008D31A5"/>
    <w:rsid w:val="00935DFF"/>
    <w:rsid w:val="009E6205"/>
    <w:rsid w:val="00A71F9E"/>
    <w:rsid w:val="00AC1A3A"/>
    <w:rsid w:val="00AD6958"/>
    <w:rsid w:val="00AE3A2B"/>
    <w:rsid w:val="00AE4315"/>
    <w:rsid w:val="00B2402E"/>
    <w:rsid w:val="00E114C0"/>
    <w:rsid w:val="00E328B3"/>
    <w:rsid w:val="00F021EE"/>
    <w:rsid w:val="00F360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EE"/>
    <w:pPr>
      <w:ind w:left="720"/>
      <w:contextualSpacing/>
    </w:pPr>
  </w:style>
  <w:style w:type="paragraph" w:styleId="BalloonText">
    <w:name w:val="Balloon Text"/>
    <w:basedOn w:val="Normal"/>
    <w:link w:val="BalloonTextChar"/>
    <w:uiPriority w:val="99"/>
    <w:semiHidden/>
    <w:unhideWhenUsed/>
    <w:rsid w:val="005E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246"/>
    <w:rPr>
      <w:rFonts w:ascii="Tahoma" w:hAnsi="Tahoma" w:cs="Tahoma"/>
      <w:sz w:val="16"/>
      <w:szCs w:val="16"/>
    </w:rPr>
  </w:style>
  <w:style w:type="character" w:styleId="Hyperlink">
    <w:name w:val="Hyperlink"/>
    <w:basedOn w:val="DefaultParagraphFont"/>
    <w:uiPriority w:val="99"/>
    <w:unhideWhenUsed/>
    <w:rsid w:val="0066723D"/>
    <w:rPr>
      <w:color w:val="0000FF" w:themeColor="hyperlink"/>
      <w:u w:val="single"/>
    </w:rPr>
  </w:style>
  <w:style w:type="character" w:styleId="FollowedHyperlink">
    <w:name w:val="FollowedHyperlink"/>
    <w:basedOn w:val="DefaultParagraphFont"/>
    <w:uiPriority w:val="99"/>
    <w:semiHidden/>
    <w:unhideWhenUsed/>
    <w:rsid w:val="0066723D"/>
    <w:rPr>
      <w:color w:val="800080" w:themeColor="followedHyperlink"/>
      <w:u w:val="single"/>
    </w:rPr>
  </w:style>
  <w:style w:type="table" w:styleId="TableGrid">
    <w:name w:val="Table Grid"/>
    <w:basedOn w:val="TableNormal"/>
    <w:uiPriority w:val="59"/>
    <w:rsid w:val="00587B4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114C0"/>
    <w:pPr>
      <w:autoSpaceDE w:val="0"/>
      <w:autoSpaceDN w:val="0"/>
      <w:adjustRightInd w:val="0"/>
      <w:spacing w:after="0" w:line="240" w:lineRule="auto"/>
    </w:pPr>
    <w:rPr>
      <w:rFonts w:ascii="Calibri" w:eastAsia="Calibri" w:hAnsi="Calibri" w:cs="Calibri"/>
      <w:color w:val="000000"/>
      <w:sz w:val="24"/>
      <w:szCs w:val="24"/>
    </w:rPr>
  </w:style>
  <w:style w:type="character" w:customStyle="1" w:styleId="a">
    <w:name w:val="Ετικέτα κεφαλίδας μηνύματος"/>
    <w:rsid w:val="00E114C0"/>
    <w:rPr>
      <w:rFonts w:ascii="Arial Black" w:hAnsi="Arial Black"/>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epshellas.com/index.php/documentation/documents/documentsgeneralfiles?download=26%3A2012-04-08-05-55-00" TargetMode="External"/><Relationship Id="rId12" Type="http://schemas.openxmlformats.org/officeDocument/2006/relationships/image" Target="media/image7.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1.bin"/><Relationship Id="rId22" Type="http://schemas.openxmlformats.org/officeDocument/2006/relationships/hyperlink" Target="http://www.epshella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704</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dc:creator>
  <cp:keywords/>
  <dc:description/>
  <cp:lastModifiedBy>ppo</cp:lastModifiedBy>
  <cp:revision>5</cp:revision>
  <cp:lastPrinted>2014-11-06T10:46:00Z</cp:lastPrinted>
  <dcterms:created xsi:type="dcterms:W3CDTF">2014-11-07T09:39:00Z</dcterms:created>
  <dcterms:modified xsi:type="dcterms:W3CDTF">2014-11-11T11:24:00Z</dcterms:modified>
</cp:coreProperties>
</file>